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hint="default" w:cs="宋体"/>
          <w:b/>
          <w:bCs/>
          <w:color w:val="auto"/>
          <w:sz w:val="28"/>
          <w:szCs w:val="28"/>
          <w:lang w:val="en-US" w:eastAsia="zh-CN"/>
        </w:rPr>
      </w:pPr>
      <w:r>
        <w:rPr>
          <w:rFonts w:hint="eastAsia" w:cs="宋体"/>
          <w:b/>
          <w:bCs/>
          <w:color w:val="auto"/>
          <w:sz w:val="24"/>
          <w:szCs w:val="24"/>
          <w:lang w:val="en-US" w:eastAsia="zh-CN"/>
        </w:rPr>
        <w:t>项目名称：云南天然橡胶产业集团江城有限公司农家肥(牛粪)采购项目</w:t>
      </w:r>
    </w:p>
    <w:p>
      <w:pPr>
        <w:spacing w:line="480" w:lineRule="auto"/>
        <w:jc w:val="center"/>
        <w:rPr>
          <w:rFonts w:hint="default" w:cs="宋体"/>
          <w:b/>
          <w:bCs/>
          <w:color w:val="auto"/>
          <w:sz w:val="32"/>
          <w:szCs w:val="32"/>
          <w:u w:val="none"/>
          <w:lang w:val="en-US"/>
        </w:rPr>
      </w:pPr>
      <w:r>
        <w:rPr>
          <w:rFonts w:hint="eastAsia" w:cs="宋体"/>
          <w:b/>
          <w:bCs/>
          <w:color w:val="auto"/>
          <w:sz w:val="24"/>
          <w:szCs w:val="24"/>
          <w:lang w:val="en-US" w:eastAsia="zh-CN"/>
        </w:rPr>
        <w:t>项目编号：YJJCWZ006</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
      <w:pPr>
        <w:jc w:val="center"/>
        <w:rPr>
          <w:color w:val="auto"/>
        </w:rPr>
      </w:pPr>
    </w:p>
    <w:p>
      <w:pPr>
        <w:pStyle w:val="2"/>
      </w:pPr>
    </w:p>
    <w:p>
      <w:pPr>
        <w:rPr>
          <w:color w:val="auto"/>
        </w:rPr>
      </w:pPr>
      <w:r>
        <w:rPr>
          <w:color w:val="auto"/>
        </w:rPr>
        <w:tab/>
      </w:r>
    </w:p>
    <w:p>
      <w:pPr>
        <w:jc w:val="center"/>
        <w:rPr>
          <w:rFonts w:ascii="宋体" w:hAnsi="宋体" w:cs="宋体"/>
          <w:b/>
          <w:bCs/>
          <w:color w:val="auto"/>
          <w:sz w:val="28"/>
          <w:szCs w:val="28"/>
        </w:rPr>
      </w:pPr>
      <w:r>
        <w:rPr>
          <w:rFonts w:hint="eastAsia" w:ascii="宋体" w:hAnsi="宋体" w:cs="宋体"/>
          <w:b/>
          <w:bCs/>
          <w:color w:val="auto"/>
          <w:sz w:val="28"/>
          <w:szCs w:val="28"/>
        </w:rPr>
        <w:t>采购人：云南天然橡胶产业集团</w:t>
      </w:r>
      <w:r>
        <w:rPr>
          <w:rFonts w:hint="eastAsia" w:ascii="宋体" w:hAnsi="宋体" w:cs="宋体"/>
          <w:b/>
          <w:bCs/>
          <w:color w:val="auto"/>
          <w:sz w:val="28"/>
          <w:szCs w:val="28"/>
          <w:lang w:val="en-US" w:eastAsia="zh-CN"/>
        </w:rPr>
        <w:t>江城</w:t>
      </w:r>
      <w:r>
        <w:rPr>
          <w:rFonts w:hint="eastAsia" w:ascii="宋体" w:hAnsi="宋体" w:cs="宋体"/>
          <w:b/>
          <w:bCs/>
          <w:color w:val="auto"/>
          <w:sz w:val="28"/>
          <w:szCs w:val="28"/>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highlight w:val="none"/>
          <w:lang w:val="en-US" w:eastAsia="zh-CN"/>
        </w:rPr>
        <w:t>3</w:t>
      </w:r>
      <w:r>
        <w:rPr>
          <w:rFonts w:hint="eastAsia" w:ascii="宋体" w:hAnsi="宋体" w:cs="宋体"/>
          <w:b/>
          <w:bCs/>
          <w:color w:val="auto"/>
          <w:sz w:val="28"/>
          <w:szCs w:val="28"/>
          <w:highlight w:val="none"/>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306"/>
        </w:tabs>
        <w:rPr>
          <w:rFonts w:hint="eastAsia" w:ascii="仿宋_GB2312" w:hAnsi="仿宋_GB2312" w:eastAsia="仿宋_GB2312" w:cs="仿宋_GB2312"/>
          <w:sz w:val="28"/>
          <w:szCs w:val="28"/>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_Toc7733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28"/>
        </w:rPr>
        <w:t>第一章  竞争性谈判</w:t>
      </w:r>
      <w:r>
        <w:rPr>
          <w:rFonts w:hint="eastAsia" w:ascii="仿宋_GB2312" w:hAnsi="仿宋_GB2312" w:eastAsia="仿宋_GB2312" w:cs="仿宋_GB2312"/>
          <w:sz w:val="28"/>
          <w:szCs w:val="28"/>
          <w:lang w:val="en-US" w:eastAsia="zh-CN"/>
        </w:rPr>
        <w:t>公告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_Toc7733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_Toc13248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44"/>
        </w:rPr>
        <w:t>第二章  供应商须知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_Toc2509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44"/>
        </w:rPr>
        <w:t>第三章  竞争性谈判及合同签订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_Toc26955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44"/>
          <w:lang w:val="en-US" w:eastAsia="zh-CN"/>
        </w:rPr>
        <w:t>第四章  采购需求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pStyle w:val="1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_Toc29902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44"/>
        </w:rPr>
        <w:t>第五章  合同格式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pStyle w:val="10"/>
        <w:tabs>
          <w:tab w:val="right" w:leader="dot" w:pos="8306"/>
        </w:tabs>
      </w:pPr>
      <w:r>
        <w:rPr>
          <w:rFonts w:hint="eastAsia" w:ascii="仿宋_GB2312" w:hAnsi="仿宋_GB2312" w:eastAsia="仿宋_GB2312" w:cs="仿宋_GB2312"/>
          <w:color w:val="auto"/>
          <w:sz w:val="28"/>
          <w:szCs w:val="36"/>
        </w:rPr>
        <w:fldChar w:fldCharType="begin"/>
      </w:r>
      <w:r>
        <w:rPr>
          <w:rFonts w:hint="eastAsia" w:ascii="仿宋_GB2312" w:hAnsi="仿宋_GB2312" w:eastAsia="仿宋_GB2312" w:cs="仿宋_GB2312"/>
          <w:sz w:val="28"/>
          <w:szCs w:val="36"/>
        </w:rPr>
        <w:instrText xml:space="preserve"> HYPERLINK \l _Toc10115 </w:instrText>
      </w:r>
      <w:r>
        <w:rPr>
          <w:rFonts w:hint="eastAsia" w:ascii="仿宋_GB2312" w:hAnsi="仿宋_GB2312" w:eastAsia="仿宋_GB2312" w:cs="仿宋_GB2312"/>
          <w:sz w:val="28"/>
          <w:szCs w:val="36"/>
        </w:rPr>
        <w:fldChar w:fldCharType="separate"/>
      </w:r>
      <w:r>
        <w:rPr>
          <w:rFonts w:hint="eastAsia" w:ascii="仿宋_GB2312" w:hAnsi="仿宋_GB2312" w:eastAsia="仿宋_GB2312" w:cs="仿宋_GB2312"/>
          <w:sz w:val="28"/>
          <w:szCs w:val="28"/>
          <w:lang w:val="en-US" w:eastAsia="zh-CN"/>
        </w:rPr>
        <w:t>第</w:t>
      </w:r>
      <w:r>
        <w:rPr>
          <w:rFonts w:hint="eastAsia" w:ascii="仿宋_GB2312" w:hAnsi="仿宋_GB2312" w:eastAsia="仿宋_GB2312" w:cs="仿宋_GB2312"/>
          <w:sz w:val="28"/>
          <w:szCs w:val="28"/>
        </w:rPr>
        <w:t xml:space="preserve">六章  </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申请文件格式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36"/>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7733"/>
      <w:r>
        <w:rPr>
          <w:rFonts w:hint="eastAsia"/>
          <w:color w:val="auto"/>
        </w:rPr>
        <w:t xml:space="preserve">第一章  </w:t>
      </w:r>
      <w:bookmarkEnd w:id="1"/>
      <w:r>
        <w:rPr>
          <w:rFonts w:hint="eastAsia"/>
          <w:color w:val="auto"/>
        </w:rPr>
        <w:t>竞争性谈判</w:t>
      </w:r>
      <w:r>
        <w:rPr>
          <w:rFonts w:hint="eastAsia"/>
          <w:color w:val="auto"/>
          <w:lang w:val="en-US" w:eastAsia="zh-CN"/>
        </w:rPr>
        <w:t>公告</w:t>
      </w:r>
      <w:bookmarkEnd w:id="2"/>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eastAsia="zh-CN"/>
        </w:rPr>
        <w:t>农家肥（牛粪）</w:t>
      </w:r>
      <w:r>
        <w:rPr>
          <w:rFonts w:hint="eastAsia" w:ascii="宋体" w:hAnsi="宋体" w:cs="宋体"/>
          <w:color w:val="auto"/>
          <w:sz w:val="24"/>
          <w:szCs w:val="24"/>
        </w:rPr>
        <w:t>”</w:t>
      </w:r>
      <w:r>
        <w:rPr>
          <w:rFonts w:hint="eastAsia" w:ascii="宋体" w:hAnsi="宋体" w:cs="宋体"/>
          <w:color w:val="auto"/>
          <w:sz w:val="24"/>
          <w:szCs w:val="24"/>
          <w:lang w:val="en-US" w:eastAsia="zh-CN"/>
        </w:rPr>
        <w:t>采购</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w:t>
      </w:r>
      <w:r>
        <w:rPr>
          <w:rFonts w:hint="eastAsia" w:ascii="宋体" w:hAnsi="宋体" w:cs="宋体"/>
          <w:color w:val="auto"/>
          <w:sz w:val="24"/>
          <w:szCs w:val="24"/>
          <w:lang w:eastAsia="zh-CN"/>
        </w:rPr>
        <w:t>农家肥（牛粪）</w:t>
      </w:r>
      <w:r>
        <w:rPr>
          <w:rFonts w:hint="eastAsia" w:ascii="宋体" w:hAnsi="宋体" w:cs="宋体"/>
          <w:color w:val="auto"/>
          <w:sz w:val="24"/>
          <w:szCs w:val="24"/>
          <w:lang w:val="en-US" w:eastAsia="zh-CN"/>
        </w:rPr>
        <w:t>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YJJCWZ006</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农家肥（牛粪），</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356400.00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人民币叁拾伍万陆仟肆佰元整</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hint="eastAsia" w:ascii="宋体" w:hAnsi="宋体" w:eastAsia="宋体" w:cs="宋体"/>
          <w:color w:val="auto"/>
          <w:sz w:val="24"/>
          <w:szCs w:val="24"/>
          <w:lang w:eastAsia="zh-CN"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highlight w:val="none"/>
          <w:lang w:val="en-US" w:eastAsia="zh-CN" w:bidi="ar"/>
        </w:rPr>
        <w:t>3</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28</w:t>
      </w:r>
      <w:r>
        <w:rPr>
          <w:rFonts w:hint="eastAsia" w:ascii="宋体" w:hAnsi="宋体" w:cs="宋体"/>
          <w:color w:val="auto"/>
          <w:sz w:val="24"/>
          <w:szCs w:val="24"/>
          <w:highlight w:val="none"/>
          <w:lang w:bidi="ar"/>
        </w:rPr>
        <w:t>日至20</w:t>
      </w:r>
      <w:r>
        <w:rPr>
          <w:rFonts w:hint="eastAsia" w:ascii="宋体" w:hAnsi="宋体" w:cs="宋体"/>
          <w:color w:val="auto"/>
          <w:sz w:val="24"/>
          <w:szCs w:val="24"/>
          <w:highlight w:val="none"/>
          <w:lang w:val="en-US" w:eastAsia="zh-CN" w:bidi="ar"/>
        </w:rPr>
        <w:t>23</w:t>
      </w:r>
      <w:r>
        <w:rPr>
          <w:rFonts w:hint="eastAsia" w:ascii="宋体" w:hAnsi="宋体" w:cs="宋体"/>
          <w:color w:val="auto"/>
          <w:sz w:val="24"/>
          <w:szCs w:val="24"/>
          <w:highlight w:val="none"/>
          <w:lang w:bidi="ar"/>
        </w:rPr>
        <w:t>年</w:t>
      </w:r>
      <w:r>
        <w:rPr>
          <w:rFonts w:hint="eastAsia" w:ascii="宋体" w:hAnsi="宋体" w:cs="宋体"/>
          <w:color w:val="auto"/>
          <w:sz w:val="24"/>
          <w:szCs w:val="24"/>
          <w:highlight w:val="none"/>
          <w:lang w:val="en-US" w:eastAsia="zh-CN" w:bidi="ar"/>
        </w:rPr>
        <w:t>3</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30</w:t>
      </w:r>
      <w:r>
        <w:rPr>
          <w:rFonts w:hint="eastAsia" w:ascii="宋体" w:hAnsi="宋体" w:cs="宋体"/>
          <w:color w:val="auto"/>
          <w:sz w:val="24"/>
          <w:szCs w:val="24"/>
          <w:highlight w:val="none"/>
          <w:lang w:bidi="ar"/>
        </w:rPr>
        <w:t>日</w:t>
      </w:r>
      <w:r>
        <w:rPr>
          <w:rFonts w:hint="eastAsia" w:ascii="宋体" w:hAnsi="宋体" w:cs="宋体"/>
          <w:color w:val="auto"/>
          <w:sz w:val="24"/>
          <w:szCs w:val="24"/>
          <w:lang w:bidi="ar"/>
        </w:rPr>
        <w:t>，每日上午0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p>
    <w:p>
      <w:pPr>
        <w:spacing w:line="360" w:lineRule="auto"/>
        <w:ind w:firstLine="480" w:firstLineChars="200"/>
        <w:rPr>
          <w:rFonts w:hint="eastAsia" w:ascii="宋体" w:hAnsi="宋体" w:eastAsia="宋体" w:cs="宋体"/>
          <w:color w:val="auto"/>
          <w:sz w:val="24"/>
          <w:szCs w:val="24"/>
          <w:lang w:eastAsia="zh-CN" w:bidi="ar"/>
        </w:rPr>
      </w:pPr>
      <w:r>
        <w:rPr>
          <w:rFonts w:hint="eastAsia" w:ascii="宋体" w:hAnsi="宋体" w:cs="宋体"/>
          <w:color w:val="auto"/>
          <w:sz w:val="24"/>
          <w:szCs w:val="24"/>
          <w:lang w:bidi="ar"/>
        </w:rPr>
        <w:t>6.2获取方式如下（现场获取或邮寄获取）：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3</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31</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08</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十、谈判保证金</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pStyle w:val="2"/>
        <w:rPr>
          <w:rFonts w:hint="eastAsia" w:ascii="宋体" w:hAnsi="宋体" w:cs="宋体"/>
          <w:bCs/>
          <w:color w:val="auto"/>
          <w:sz w:val="24"/>
          <w:szCs w:val="24"/>
        </w:rPr>
      </w:pPr>
    </w:p>
    <w:p>
      <w:pPr>
        <w:rPr>
          <w:rFonts w:hint="eastAsia" w:ascii="宋体" w:hAnsi="宋体" w:cs="宋体"/>
          <w:bCs/>
          <w:color w:val="auto"/>
          <w:sz w:val="24"/>
          <w:szCs w:val="24"/>
        </w:rPr>
      </w:pPr>
    </w:p>
    <w:p>
      <w:pPr>
        <w:pStyle w:val="2"/>
      </w:pP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cs="宋体"/>
          <w:color w:val="auto"/>
          <w:sz w:val="24"/>
          <w:szCs w:val="24"/>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13248"/>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2509"/>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pStyle w:val="3"/>
        <w:spacing w:before="100" w:beforeAutospacing="1" w:after="100" w:afterAutospacing="1" w:line="240" w:lineRule="auto"/>
        <w:jc w:val="center"/>
        <w:rPr>
          <w:rFonts w:hint="eastAsia" w:ascii="宋体" w:hAnsi="宋体" w:cs="宋体"/>
          <w:color w:val="auto"/>
          <w:sz w:val="32"/>
          <w:szCs w:val="32"/>
          <w:lang w:val="en-US" w:eastAsia="zh-CN"/>
        </w:rPr>
      </w:pPr>
      <w:bookmarkStart w:id="7" w:name="_Toc482969333"/>
      <w:bookmarkStart w:id="8" w:name="_Toc26955"/>
      <w:r>
        <w:rPr>
          <w:rFonts w:hint="eastAsia" w:ascii="宋体" w:hAnsi="宋体" w:cs="宋体"/>
          <w:color w:val="auto"/>
          <w:sz w:val="32"/>
          <w:szCs w:val="32"/>
          <w:lang w:val="en-US" w:eastAsia="zh-CN"/>
        </w:rPr>
        <w:t>第四章  采购</w:t>
      </w:r>
      <w:bookmarkEnd w:id="7"/>
      <w:r>
        <w:rPr>
          <w:rFonts w:hint="eastAsia" w:ascii="宋体" w:hAnsi="宋体" w:cs="宋体"/>
          <w:color w:val="auto"/>
          <w:sz w:val="32"/>
          <w:szCs w:val="32"/>
          <w:lang w:val="en-US" w:eastAsia="zh-CN"/>
        </w:rPr>
        <w:t>需求</w:t>
      </w:r>
      <w:bookmarkEnd w:id="8"/>
      <w:bookmarkStart w:id="9" w:name="_Toc482969334"/>
      <w:bookmarkStart w:id="10" w:name="_Toc426378447"/>
    </w:p>
    <w:p>
      <w:pPr>
        <w:keepNext w:val="0"/>
        <w:keepLines w:val="0"/>
        <w:pageBreakBefore w:val="0"/>
        <w:numPr>
          <w:ilvl w:val="0"/>
          <w:numId w:val="0"/>
        </w:numPr>
        <w:kinsoku/>
        <w:wordWrap/>
        <w:overflowPunct/>
        <w:topLinePunct w:val="0"/>
        <w:autoSpaceDE/>
        <w:autoSpaceDN/>
        <w:bidi w:val="0"/>
        <w:adjustRightInd/>
        <w:snapToGrid/>
        <w:ind w:firstLine="560" w:firstLineChars="200"/>
        <w:jc w:val="left"/>
        <w:textAlignment w:val="auto"/>
        <w:rPr>
          <w:rFonts w:hint="eastAsia"/>
          <w:color w:val="auto"/>
          <w:sz w:val="28"/>
          <w:szCs w:val="32"/>
          <w:lang w:val="en-US" w:eastAsia="zh-CN"/>
        </w:rPr>
      </w:pPr>
      <w:r>
        <w:rPr>
          <w:rFonts w:hint="eastAsia"/>
          <w:color w:val="auto"/>
          <w:sz w:val="28"/>
          <w:szCs w:val="32"/>
          <w:lang w:val="en-US" w:eastAsia="zh-CN"/>
        </w:rPr>
        <w:t>（一）采购数量：918吨，采购数量为预估数量，供应商应以实际需求量供货。</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560" w:firstLineChars="200"/>
        <w:textAlignment w:val="auto"/>
        <w:rPr>
          <w:rFonts w:hint="default" w:ascii="Calibri" w:hAnsi="Calibri" w:eastAsia="宋体" w:cs="Times New Roman"/>
          <w:color w:val="auto"/>
          <w:kern w:val="2"/>
          <w:sz w:val="28"/>
          <w:szCs w:val="32"/>
          <w:highlight w:val="none"/>
          <w:lang w:val="en-US" w:eastAsia="zh-CN" w:bidi="ar-SA"/>
        </w:rPr>
      </w:pPr>
      <w:r>
        <w:rPr>
          <w:rFonts w:hint="eastAsia"/>
          <w:color w:val="auto"/>
          <w:sz w:val="28"/>
          <w:szCs w:val="32"/>
          <w:lang w:val="en-US" w:eastAsia="zh-CN"/>
        </w:rPr>
        <w:t>（二）技术要求：</w:t>
      </w:r>
      <w:r>
        <w:rPr>
          <w:rFonts w:hint="eastAsia"/>
          <w:color w:val="auto"/>
          <w:sz w:val="28"/>
          <w:szCs w:val="32"/>
          <w:highlight w:val="none"/>
          <w:lang w:val="en-US" w:eastAsia="zh-CN"/>
        </w:rPr>
        <w:t xml:space="preserve"> 水分≤75%；有机质质量分数（以烘干基计）≥18%；不掺土、砂、锯末。</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hint="default"/>
          <w:color w:val="auto"/>
          <w:sz w:val="28"/>
          <w:szCs w:val="32"/>
          <w:lang w:val="en-US" w:eastAsia="zh-CN"/>
        </w:rPr>
      </w:pPr>
      <w:r>
        <w:rPr>
          <w:rFonts w:hint="eastAsia"/>
          <w:color w:val="auto"/>
          <w:sz w:val="28"/>
          <w:szCs w:val="32"/>
          <w:lang w:val="en-US" w:eastAsia="zh-CN"/>
        </w:rPr>
        <w:t>（三）交货时间：</w:t>
      </w:r>
      <w:r>
        <w:rPr>
          <w:rFonts w:hint="eastAsia"/>
          <w:color w:val="auto"/>
          <w:sz w:val="28"/>
          <w:szCs w:val="32"/>
          <w:highlight w:val="none"/>
          <w:lang w:val="en-US" w:eastAsia="zh-CN"/>
        </w:rPr>
        <w:t>合同签订之日起20日内分批完成供货。</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hint="eastAsia"/>
          <w:color w:val="auto"/>
          <w:sz w:val="28"/>
          <w:szCs w:val="32"/>
          <w:highlight w:val="none"/>
          <w:lang w:val="en-US" w:eastAsia="zh-CN"/>
        </w:rPr>
      </w:pPr>
      <w:r>
        <w:rPr>
          <w:rFonts w:hint="eastAsia"/>
          <w:color w:val="auto"/>
          <w:sz w:val="28"/>
          <w:szCs w:val="32"/>
          <w:lang w:val="en-US" w:eastAsia="zh-CN"/>
        </w:rPr>
        <w:t>（四）交货地点：</w:t>
      </w:r>
      <w:r>
        <w:rPr>
          <w:rFonts w:hint="eastAsia"/>
          <w:color w:val="auto"/>
          <w:sz w:val="28"/>
          <w:szCs w:val="32"/>
          <w:highlight w:val="none"/>
          <w:lang w:val="en-US" w:eastAsia="zh-CN"/>
        </w:rPr>
        <w:t>普洱市江城县曲水镇整康坝云胶江城公司三队、四队、五队、十二队（采购人指定地点）。</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color w:val="auto"/>
          <w:sz w:val="28"/>
          <w:szCs w:val="32"/>
          <w:highlight w:val="none"/>
          <w:lang w:val="en-US" w:eastAsia="zh-CN"/>
        </w:rPr>
      </w:pPr>
      <w:r>
        <w:rPr>
          <w:rFonts w:hint="eastAsia"/>
          <w:color w:val="auto"/>
          <w:sz w:val="28"/>
          <w:szCs w:val="32"/>
          <w:lang w:val="en-US" w:eastAsia="zh-CN"/>
        </w:rPr>
        <w:t>（五）质量要求：供应商所提供的产品质量必须符合国家标准或者行业标准；没有国家标准或者行业标准的，适用双方约定标准。</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color w:val="auto"/>
          <w:sz w:val="28"/>
          <w:szCs w:val="32"/>
          <w:lang w:val="en-US" w:eastAsia="zh-CN"/>
        </w:rPr>
      </w:pPr>
      <w:r>
        <w:rPr>
          <w:rFonts w:hint="eastAsia"/>
          <w:color w:val="auto"/>
          <w:sz w:val="28"/>
          <w:szCs w:val="32"/>
          <w:lang w:val="en-US" w:eastAsia="zh-CN"/>
        </w:rPr>
        <w:t>（六）结算货款：供应产品数量达到500吨，经采购人验收合格，收到货物等额的增值税发票，采购人在10日内支付货款；供货结束后，经采购人验收合格，收到货物等额的增值税发票，采购人在15日内支付货款。</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default"/>
          <w:color w:val="auto"/>
          <w:sz w:val="28"/>
          <w:szCs w:val="32"/>
          <w:lang w:val="en-US" w:eastAsia="zh-CN"/>
        </w:rPr>
      </w:pPr>
      <w:r>
        <w:rPr>
          <w:rFonts w:hint="eastAsia"/>
          <w:color w:val="auto"/>
          <w:sz w:val="28"/>
          <w:szCs w:val="32"/>
          <w:lang w:val="en-US" w:eastAsia="zh-CN"/>
        </w:rPr>
        <w:t>（七）其他说明：供应商提出的报价应为各项支付金额的总和(即包含运输费、装车费、税费等)。报价单中的漏项视为已包含在其报价内，结算时不予调整。供应商的最终报价在合同执行过程中是固定不变的，不得以任何理由予以变更。</w:t>
      </w: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color w:val="auto"/>
        </w:rPr>
      </w:pPr>
    </w:p>
    <w:p>
      <w:pPr>
        <w:pStyle w:val="3"/>
        <w:spacing w:before="100" w:beforeAutospacing="1" w:after="100" w:afterAutospacing="1" w:line="240" w:lineRule="auto"/>
        <w:jc w:val="center"/>
        <w:rPr>
          <w:rFonts w:ascii="宋体" w:hAnsi="宋体" w:cs="宋体"/>
          <w:color w:val="auto"/>
          <w:sz w:val="24"/>
        </w:rPr>
      </w:pPr>
      <w:bookmarkStart w:id="11" w:name="_Toc29902"/>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beforeLines="100"/>
        <w:jc w:val="center"/>
        <w:rPr>
          <w:rFonts w:ascii="黑体" w:eastAsia="黑体" w:cs="黑体"/>
          <w:b/>
          <w:color w:val="auto"/>
          <w:sz w:val="40"/>
          <w:szCs w:val="40"/>
        </w:rPr>
      </w:pPr>
      <w:r>
        <w:rPr>
          <w:rFonts w:hint="eastAsia" w:ascii="黑体" w:eastAsia="黑体" w:cs="黑体"/>
          <w:b/>
          <w:color w:val="auto"/>
          <w:sz w:val="40"/>
          <w:szCs w:val="40"/>
          <w:lang w:eastAsia="zh-CN"/>
        </w:rPr>
        <w:t>农家肥（牛粪）</w:t>
      </w:r>
      <w:r>
        <w:rPr>
          <w:rFonts w:hint="eastAsia" w:ascii="黑体" w:eastAsia="黑体" w:cs="黑体"/>
          <w:b/>
          <w:color w:val="auto"/>
          <w:sz w:val="40"/>
          <w:szCs w:val="40"/>
        </w:rPr>
        <w:t>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850"/>
        <w:gridCol w:w="807"/>
        <w:gridCol w:w="969"/>
        <w:gridCol w:w="1247"/>
        <w:gridCol w:w="1223"/>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eastAsia="zh-CN"/>
              </w:rPr>
            </w:pPr>
            <w:r>
              <w:rPr>
                <w:rFonts w:hint="eastAsia" w:ascii="宋体" w:hAnsi="宋体" w:eastAsia="宋体-PUA" w:cs="宋体"/>
                <w:color w:val="auto"/>
                <w:kern w:val="0"/>
                <w:sz w:val="24"/>
                <w:lang w:eastAsia="zh-CN"/>
              </w:rPr>
              <w:t>农家肥（牛粪）</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r>
              <w:rPr>
                <w:rFonts w:hint="eastAsia" w:ascii="宋体" w:hAnsi="宋体" w:cs="宋体"/>
                <w:bCs/>
                <w:color w:val="auto"/>
                <w:kern w:val="0"/>
                <w:sz w:val="24"/>
                <w:lang w:val="en-US" w:eastAsia="zh-CN"/>
              </w:rPr>
              <w:t>供应商所提供的产品质量必须符合国家标准或者行业标准；没有国家标准或者行业标准的，适用双方约定标准</w:t>
            </w:r>
          </w:p>
        </w:tc>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6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4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223"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0" w:firstLineChars="200"/>
        <w:rPr>
          <w:rFonts w:hint="eastAsia"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1.</w:t>
      </w:r>
      <w:r>
        <w:rPr>
          <w:rFonts w:hint="eastAsia" w:cs="宋体" w:asciiTheme="minorEastAsia" w:hAnsiTheme="minorEastAsia" w:eastAsiaTheme="minorEastAsia"/>
          <w:bCs/>
          <w:color w:val="auto"/>
          <w:sz w:val="28"/>
          <w:szCs w:val="28"/>
        </w:rPr>
        <w:t>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w:t>
      </w:r>
      <w:r>
        <w:rPr>
          <w:rFonts w:hint="eastAsia" w:cs="宋体" w:asciiTheme="minorEastAsia" w:hAnsiTheme="minorEastAsia" w:eastAsiaTheme="minorEastAsia"/>
          <w:color w:val="auto"/>
          <w:sz w:val="28"/>
          <w:szCs w:val="28"/>
          <w:lang w:eastAsia="zh-CN"/>
        </w:rPr>
        <w:t>三队、四队、五队、十二队</w:t>
      </w:r>
      <w:r>
        <w:rPr>
          <w:rFonts w:hint="eastAsia" w:cs="宋体" w:asciiTheme="minorEastAsia" w:hAnsiTheme="minorEastAsia" w:eastAsiaTheme="minorEastAsia"/>
          <w:color w:val="auto"/>
          <w:sz w:val="28"/>
          <w:szCs w:val="28"/>
        </w:rPr>
        <w:t>），如有变更，以甲方书面通知为准。如一次性无法到达甲方指定收货地点，中途倒车费用由乙方承担。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乙方供应的产品到达甲方指定地点后，甲方应及时收货验货。产品数量由甲方负责人组织验收，出现到货物资与计划采购数量不相符，甲方应及时联系乙方指定人员，根据实际发生数量确认签字验收。</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lang w:val="en-US" w:eastAsia="zh-CN"/>
        </w:rPr>
        <w:t>供应产品数量达到500吨，经采购人验收合格，收到货物等额的增值税发票，采购人在10日内支付货款；供货结束后，经采购人验收合格，收到货物等额的增值税发票，采购人在15日内支付货款</w:t>
      </w:r>
      <w:r>
        <w:rPr>
          <w:rFonts w:hint="eastAsia" w:ascii="宋体" w:hAnsi="宋体"/>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lang w:val="en-US" w:eastAsia="zh-CN"/>
        </w:rPr>
        <w:t>五</w:t>
      </w:r>
      <w:r>
        <w:rPr>
          <w:rFonts w:hint="eastAsia" w:cs="宋体" w:asciiTheme="minorEastAsia" w:hAnsiTheme="minorEastAsia" w:eastAsiaTheme="minorEastAsia"/>
          <w:b/>
          <w:color w:val="auto"/>
          <w:sz w:val="28"/>
          <w:szCs w:val="28"/>
        </w:rPr>
        <w:t>、</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5"/>
        <w:rPr>
          <w:rFonts w:hint="eastAsia" w:cs="宋体" w:asciiTheme="minorEastAsia" w:hAnsiTheme="minorEastAsia" w:eastAsiaTheme="minorEastAsia"/>
          <w:color w:val="auto"/>
          <w:sz w:val="28"/>
          <w:szCs w:val="28"/>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bookmarkEnd w:id="10"/>
    <w:p>
      <w:pPr>
        <w:pStyle w:val="13"/>
        <w:rPr>
          <w:color w:val="auto"/>
        </w:rPr>
      </w:pPr>
      <w:bookmarkStart w:id="12" w:name="_Toc10115"/>
      <w:bookmarkStart w:id="13" w:name="_Toc482969335"/>
      <w:r>
        <w:rPr>
          <w:rFonts w:hint="eastAsia"/>
          <w:color w:val="auto"/>
          <w:lang w:val="en-US" w:eastAsia="zh-CN"/>
        </w:rPr>
        <w:t>第</w:t>
      </w:r>
      <w:r>
        <w:rPr>
          <w:rFonts w:hint="eastAsia"/>
          <w:color w:val="auto"/>
        </w:rPr>
        <w:t xml:space="preserve">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rFonts w:hint="eastAsia"/>
          <w:color w:val="auto"/>
          <w:sz w:val="28"/>
          <w:szCs w:val="32"/>
          <w:lang w:val="en-US" w:eastAsia="zh-CN"/>
        </w:rPr>
      </w:pPr>
      <w:r>
        <w:rPr>
          <w:rFonts w:hint="eastAsia"/>
          <w:color w:val="auto"/>
          <w:sz w:val="28"/>
          <w:szCs w:val="32"/>
        </w:rPr>
        <w:t>项目名称：</w:t>
      </w:r>
      <w:r>
        <w:rPr>
          <w:rFonts w:hint="eastAsia"/>
          <w:color w:val="auto"/>
          <w:sz w:val="28"/>
          <w:szCs w:val="32"/>
          <w:lang w:val="en-US" w:eastAsia="zh-CN"/>
        </w:rPr>
        <w:t>云南天然橡胶产业集团江城有限公司</w:t>
      </w:r>
    </w:p>
    <w:p>
      <w:pPr>
        <w:jc w:val="center"/>
        <w:rPr>
          <w:rFonts w:hint="eastAsia"/>
          <w:color w:val="auto"/>
          <w:sz w:val="28"/>
          <w:szCs w:val="32"/>
          <w:lang w:val="en-US" w:eastAsia="zh-CN"/>
        </w:rPr>
      </w:pPr>
      <w:r>
        <w:rPr>
          <w:rFonts w:hint="eastAsia"/>
          <w:color w:val="auto"/>
          <w:sz w:val="28"/>
          <w:szCs w:val="32"/>
          <w:lang w:val="en-US" w:eastAsia="zh-CN"/>
        </w:rPr>
        <w:t>农家肥（牛粪）采购项目</w:t>
      </w:r>
    </w:p>
    <w:p>
      <w:pPr>
        <w:pStyle w:val="2"/>
      </w:pPr>
    </w:p>
    <w:p>
      <w:pPr>
        <w:jc w:val="center"/>
        <w:rPr>
          <w:rFonts w:hint="default"/>
          <w:color w:val="auto"/>
          <w:sz w:val="28"/>
          <w:szCs w:val="32"/>
          <w:lang w:val="en-US"/>
        </w:rPr>
      </w:pPr>
      <w:r>
        <w:rPr>
          <w:rFonts w:hint="eastAsia"/>
          <w:color w:val="auto"/>
          <w:sz w:val="28"/>
          <w:szCs w:val="32"/>
          <w:lang w:val="en-US" w:eastAsia="zh-CN"/>
        </w:rPr>
        <w:t>项目编号：YJJCWZ006</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241825138"/>
      <w:bookmarkStart w:id="17" w:name="_Toc302769442"/>
      <w:bookmarkStart w:id="18" w:name="_Toc372530533"/>
      <w:bookmarkStart w:id="19" w:name="_Toc334883826"/>
      <w:bookmarkStart w:id="20" w:name="_Toc425249831"/>
      <w:bookmarkStart w:id="21" w:name="_Toc426378450"/>
      <w:bookmarkStart w:id="22" w:name="_Toc18651340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hint="eastAsia" w:ascii="宋体" w:hAnsi="宋体" w:cs="宋体"/>
          <w:b/>
          <w:color w:val="auto"/>
          <w:sz w:val="28"/>
        </w:rPr>
      </w:pPr>
      <w:r>
        <w:rPr>
          <w:rFonts w:hint="eastAsia" w:ascii="宋体" w:hAnsi="宋体" w:cs="宋体"/>
          <w:b/>
          <w:color w:val="auto"/>
          <w:sz w:val="28"/>
        </w:rPr>
        <w:t>最终报价函</w:t>
      </w:r>
    </w:p>
    <w:p>
      <w:pPr>
        <w:pStyle w:val="2"/>
        <w:rPr>
          <w:rFonts w:hint="eastAsia" w:eastAsia="宋体"/>
          <w:lang w:eastAsia="zh-CN"/>
        </w:rPr>
      </w:pPr>
      <w:r>
        <w:rPr>
          <w:rFonts w:hint="eastAsia" w:hAnsi="宋体" w:cs="宋体"/>
          <w:b/>
          <w:color w:val="auto"/>
          <w:sz w:val="28"/>
          <w:lang w:eastAsia="zh-CN"/>
        </w:rPr>
        <w:t>项目名称：</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rPr>
              <w:t>我公司承诺：</w:t>
            </w:r>
          </w:p>
          <w:p>
            <w:pPr>
              <w:rPr>
                <w:rFonts w:hint="eastAsia" w:ascii="宋体" w:hAnsi="宋体" w:eastAsia="宋体" w:cs="宋体"/>
                <w:color w:val="auto"/>
                <w:sz w:val="24"/>
                <w:szCs w:val="24"/>
                <w:lang w:eastAsia="zh-CN"/>
              </w:rPr>
            </w:pPr>
            <w:r>
              <w:rPr>
                <w:rFonts w:hint="eastAsia" w:ascii="宋体" w:hAnsi="宋体" w:cs="宋体"/>
                <w:color w:val="auto"/>
                <w:sz w:val="24"/>
                <w:szCs w:val="24"/>
              </w:rPr>
              <w:t>1、完全满足商务谈判文件中的技术要求；</w:t>
            </w:r>
          </w:p>
          <w:p>
            <w:pPr>
              <w:rPr>
                <w:rFonts w:hint="eastAsia" w:ascii="宋体" w:hAnsi="宋体" w:eastAsia="宋体" w:cs="宋体"/>
                <w:color w:val="auto"/>
                <w:sz w:val="24"/>
                <w:szCs w:val="24"/>
                <w:lang w:eastAsia="zh-CN"/>
              </w:rPr>
            </w:pP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p>
          <w:p>
            <w:pPr>
              <w:rPr>
                <w:rFonts w:hint="eastAsia" w:ascii="宋体" w:hAnsi="宋体" w:eastAsia="宋体" w:cs="宋体"/>
                <w:color w:val="auto"/>
                <w:sz w:val="24"/>
                <w:szCs w:val="24"/>
                <w:lang w:eastAsia="zh-CN"/>
              </w:rPr>
            </w:pP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p>
          <w:p>
            <w:pPr>
              <w:rPr>
                <w:rFonts w:hint="eastAsia" w:ascii="宋体" w:hAnsi="宋体" w:eastAsia="宋体" w:cs="宋体"/>
                <w:color w:val="auto"/>
                <w:sz w:val="24"/>
                <w:szCs w:val="24"/>
                <w:lang w:eastAsia="zh-CN"/>
              </w:rPr>
            </w:pPr>
            <w:r>
              <w:rPr>
                <w:rFonts w:hint="eastAsia" w:ascii="宋体" w:hAnsi="宋体" w:cs="宋体"/>
                <w:color w:val="auto"/>
                <w:sz w:val="24"/>
                <w:szCs w:val="24"/>
              </w:rPr>
              <w:t>（勾选：□同意，□不同意）</w:t>
            </w:r>
          </w:p>
          <w:p>
            <w:pPr>
              <w:rPr>
                <w:rFonts w:ascii="宋体" w:hAnsi="宋体" w:cs="宋体"/>
                <w:color w:val="auto"/>
                <w:sz w:val="24"/>
                <w:szCs w:val="24"/>
              </w:rPr>
            </w:pP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bookmarkStart w:id="24" w:name="_GoBack"/>
      <w:bookmarkEnd w:id="24"/>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1"/>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48E15"/>
    <w:multiLevelType w:val="singleLevel"/>
    <w:tmpl w:val="FF948E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jc2YzVhOWQ0M2ZkNWVhZjg5YmFjZWRjNjZhZDYifQ=="/>
  </w:docVars>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672AB9"/>
    <w:rsid w:val="01D5040E"/>
    <w:rsid w:val="0223730E"/>
    <w:rsid w:val="03320B0D"/>
    <w:rsid w:val="03E33071"/>
    <w:rsid w:val="05D47D9E"/>
    <w:rsid w:val="07274C1C"/>
    <w:rsid w:val="07886E25"/>
    <w:rsid w:val="08B500FC"/>
    <w:rsid w:val="0AB9052D"/>
    <w:rsid w:val="0DF01E8D"/>
    <w:rsid w:val="0E957BFA"/>
    <w:rsid w:val="0EB936F5"/>
    <w:rsid w:val="1031679E"/>
    <w:rsid w:val="112E5EE7"/>
    <w:rsid w:val="13982333"/>
    <w:rsid w:val="14F77420"/>
    <w:rsid w:val="1A1837D9"/>
    <w:rsid w:val="1CA97CF5"/>
    <w:rsid w:val="1EA85DCC"/>
    <w:rsid w:val="1F352AB9"/>
    <w:rsid w:val="1F9B3ECD"/>
    <w:rsid w:val="1FF44320"/>
    <w:rsid w:val="232E1B45"/>
    <w:rsid w:val="26DE75F3"/>
    <w:rsid w:val="273825CE"/>
    <w:rsid w:val="27921248"/>
    <w:rsid w:val="294658CD"/>
    <w:rsid w:val="2BB812E9"/>
    <w:rsid w:val="2CD4496E"/>
    <w:rsid w:val="2DEE5BC0"/>
    <w:rsid w:val="300B6B11"/>
    <w:rsid w:val="33EA7A03"/>
    <w:rsid w:val="3C357EAE"/>
    <w:rsid w:val="3D941D8E"/>
    <w:rsid w:val="3F7371DC"/>
    <w:rsid w:val="3FAA6470"/>
    <w:rsid w:val="41B20275"/>
    <w:rsid w:val="437E595D"/>
    <w:rsid w:val="44454B5F"/>
    <w:rsid w:val="449B7729"/>
    <w:rsid w:val="45164E56"/>
    <w:rsid w:val="49695632"/>
    <w:rsid w:val="4A161904"/>
    <w:rsid w:val="4B3F187E"/>
    <w:rsid w:val="4B883BE2"/>
    <w:rsid w:val="4CC44BC2"/>
    <w:rsid w:val="4D937627"/>
    <w:rsid w:val="4E2E3DC4"/>
    <w:rsid w:val="4E2F762D"/>
    <w:rsid w:val="51DB2724"/>
    <w:rsid w:val="52233F59"/>
    <w:rsid w:val="5444023C"/>
    <w:rsid w:val="551E1615"/>
    <w:rsid w:val="554F75CA"/>
    <w:rsid w:val="569A245A"/>
    <w:rsid w:val="57590491"/>
    <w:rsid w:val="5B291D9C"/>
    <w:rsid w:val="61BD2BAD"/>
    <w:rsid w:val="659E666E"/>
    <w:rsid w:val="66712663"/>
    <w:rsid w:val="672E04E3"/>
    <w:rsid w:val="6ACD0A62"/>
    <w:rsid w:val="6C777118"/>
    <w:rsid w:val="712861B9"/>
    <w:rsid w:val="74440577"/>
    <w:rsid w:val="76EE5907"/>
    <w:rsid w:val="77FF49E6"/>
    <w:rsid w:val="789F3C48"/>
    <w:rsid w:val="79613DC8"/>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宋体"/>
    </w:rPr>
  </w:style>
  <w:style w:type="paragraph" w:styleId="5">
    <w:name w:val="table of authorities"/>
    <w:basedOn w:val="1"/>
    <w:next w:val="1"/>
    <w:semiHidden/>
    <w:unhideWhenUsed/>
    <w:qFormat/>
    <w:uiPriority w:val="99"/>
    <w:pPr>
      <w:ind w:left="420" w:leftChars="20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10779</Words>
  <Characters>11106</Characters>
  <Lines>68</Lines>
  <Paragraphs>19</Paragraphs>
  <TotalTime>7</TotalTime>
  <ScaleCrop>false</ScaleCrop>
  <LinksUpToDate>false</LinksUpToDate>
  <CharactersWithSpaces>11569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dcterms:modified xsi:type="dcterms:W3CDTF">2023-03-27T12:57:05Z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3B90280D01DF4EF59D297D2139F3F779</vt:lpwstr>
  </property>
</Properties>
</file>